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8D8" w:rsidRDefault="008D18D8" w:rsidP="008D18D8">
      <w:pPr>
        <w:spacing w:line="480" w:lineRule="auto"/>
        <w:jc w:val="center"/>
        <w:rPr>
          <w:rFonts w:ascii="Times New Roman" w:hAnsi="Times New Roman" w:cs="Times New Roman"/>
          <w:sz w:val="24"/>
          <w:szCs w:val="24"/>
        </w:rPr>
      </w:pPr>
    </w:p>
    <w:p w:rsidR="008D18D8" w:rsidRDefault="008D18D8" w:rsidP="008D18D8">
      <w:pPr>
        <w:spacing w:line="480" w:lineRule="auto"/>
        <w:jc w:val="center"/>
        <w:rPr>
          <w:rFonts w:ascii="Times New Roman" w:hAnsi="Times New Roman" w:cs="Times New Roman"/>
          <w:sz w:val="24"/>
          <w:szCs w:val="24"/>
        </w:rPr>
      </w:pPr>
    </w:p>
    <w:p w:rsidR="008D18D8" w:rsidRDefault="008D18D8" w:rsidP="008D18D8">
      <w:pPr>
        <w:spacing w:line="480" w:lineRule="auto"/>
        <w:jc w:val="center"/>
        <w:rPr>
          <w:rFonts w:ascii="Times New Roman" w:hAnsi="Times New Roman" w:cs="Times New Roman"/>
          <w:sz w:val="24"/>
          <w:szCs w:val="24"/>
        </w:rPr>
      </w:pPr>
    </w:p>
    <w:p w:rsidR="008D18D8" w:rsidRDefault="008D18D8" w:rsidP="008D18D8">
      <w:pPr>
        <w:spacing w:line="480" w:lineRule="auto"/>
        <w:jc w:val="center"/>
        <w:rPr>
          <w:rFonts w:ascii="Times New Roman" w:hAnsi="Times New Roman" w:cs="Times New Roman"/>
          <w:sz w:val="24"/>
          <w:szCs w:val="24"/>
        </w:rPr>
      </w:pPr>
    </w:p>
    <w:p w:rsidR="008D18D8" w:rsidRDefault="008D18D8" w:rsidP="008D18D8">
      <w:pPr>
        <w:spacing w:line="480" w:lineRule="auto"/>
        <w:jc w:val="center"/>
        <w:rPr>
          <w:rFonts w:ascii="Times New Roman" w:hAnsi="Times New Roman" w:cs="Times New Roman"/>
          <w:sz w:val="24"/>
          <w:szCs w:val="24"/>
        </w:rPr>
      </w:pPr>
      <w:r>
        <w:rPr>
          <w:rFonts w:ascii="Times New Roman" w:hAnsi="Times New Roman" w:cs="Times New Roman"/>
          <w:sz w:val="24"/>
          <w:szCs w:val="24"/>
        </w:rPr>
        <w:t>Supreme Court Decision</w:t>
      </w:r>
    </w:p>
    <w:p w:rsidR="008D18D8" w:rsidRDefault="008D18D8" w:rsidP="008D18D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D18D8" w:rsidRDefault="008D18D8" w:rsidP="008D18D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D18D8" w:rsidRDefault="008D18D8" w:rsidP="008D18D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8D18D8" w:rsidRDefault="008D18D8" w:rsidP="008D18D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8D18D8" w:rsidRDefault="008D18D8" w:rsidP="008D18D8">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8D18D8" w:rsidRDefault="008D18D8" w:rsidP="008D18D8">
      <w:pPr>
        <w:spacing w:line="480" w:lineRule="auto"/>
        <w:rPr>
          <w:rFonts w:ascii="Times New Roman" w:hAnsi="Times New Roman" w:cs="Times New Roman"/>
          <w:sz w:val="24"/>
          <w:szCs w:val="24"/>
        </w:rPr>
      </w:pPr>
    </w:p>
    <w:p w:rsidR="008D18D8" w:rsidRDefault="008D18D8" w:rsidP="008D18D8">
      <w:pPr>
        <w:spacing w:line="480" w:lineRule="auto"/>
        <w:rPr>
          <w:rFonts w:ascii="Times New Roman" w:hAnsi="Times New Roman" w:cs="Times New Roman"/>
          <w:sz w:val="24"/>
          <w:szCs w:val="24"/>
        </w:rPr>
      </w:pPr>
    </w:p>
    <w:p w:rsidR="008D18D8" w:rsidRDefault="008D18D8" w:rsidP="008D18D8">
      <w:pPr>
        <w:spacing w:line="480" w:lineRule="auto"/>
        <w:rPr>
          <w:rFonts w:ascii="Times New Roman" w:hAnsi="Times New Roman" w:cs="Times New Roman"/>
          <w:sz w:val="24"/>
          <w:szCs w:val="24"/>
        </w:rPr>
      </w:pPr>
    </w:p>
    <w:p w:rsidR="008D18D8" w:rsidRDefault="008D18D8" w:rsidP="008D18D8">
      <w:pPr>
        <w:spacing w:line="480" w:lineRule="auto"/>
        <w:rPr>
          <w:rFonts w:ascii="Times New Roman" w:hAnsi="Times New Roman" w:cs="Times New Roman"/>
          <w:sz w:val="24"/>
          <w:szCs w:val="24"/>
        </w:rPr>
      </w:pPr>
    </w:p>
    <w:p w:rsidR="008D18D8" w:rsidRDefault="008D18D8" w:rsidP="008D18D8">
      <w:pPr>
        <w:spacing w:line="480" w:lineRule="auto"/>
        <w:rPr>
          <w:rFonts w:ascii="Times New Roman" w:hAnsi="Times New Roman" w:cs="Times New Roman"/>
          <w:sz w:val="24"/>
          <w:szCs w:val="24"/>
        </w:rPr>
      </w:pPr>
    </w:p>
    <w:p w:rsidR="008D18D8" w:rsidRDefault="008D18D8" w:rsidP="008D18D8">
      <w:pPr>
        <w:spacing w:line="480" w:lineRule="auto"/>
        <w:rPr>
          <w:rFonts w:ascii="Times New Roman" w:hAnsi="Times New Roman" w:cs="Times New Roman"/>
          <w:sz w:val="24"/>
          <w:szCs w:val="24"/>
        </w:rPr>
      </w:pPr>
    </w:p>
    <w:p w:rsidR="008D18D8" w:rsidRDefault="008D18D8" w:rsidP="008D18D8">
      <w:pPr>
        <w:spacing w:line="480" w:lineRule="auto"/>
        <w:rPr>
          <w:rFonts w:ascii="Times New Roman" w:hAnsi="Times New Roman" w:cs="Times New Roman"/>
          <w:sz w:val="24"/>
          <w:szCs w:val="24"/>
        </w:rPr>
      </w:pPr>
    </w:p>
    <w:p w:rsidR="008D18D8" w:rsidRDefault="008D18D8" w:rsidP="00AB236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 1</w:t>
      </w:r>
    </w:p>
    <w:p w:rsidR="00810574" w:rsidRPr="008D18D8" w:rsidRDefault="00C3409B" w:rsidP="008D18D8">
      <w:pPr>
        <w:spacing w:line="480" w:lineRule="auto"/>
        <w:ind w:firstLine="720"/>
        <w:rPr>
          <w:rFonts w:ascii="Times New Roman" w:hAnsi="Times New Roman" w:cs="Times New Roman"/>
          <w:sz w:val="24"/>
          <w:szCs w:val="24"/>
        </w:rPr>
      </w:pPr>
      <w:r w:rsidRPr="008D18D8">
        <w:rPr>
          <w:rFonts w:ascii="Times New Roman" w:hAnsi="Times New Roman" w:cs="Times New Roman"/>
          <w:sz w:val="24"/>
          <w:szCs w:val="24"/>
        </w:rPr>
        <w:t xml:space="preserve">Before the inauguration of Thomas Jefferson as the president in 1801, sixteen new circuit judgeships were created by the lame-duck federal congress and the organic act number of judgeships that were not specified. Adam filled with the Federalists to preserve judiciary control by his political party and as a way of frustrating the Jefferson list of the legislative and his party.  William </w:t>
      </w:r>
      <w:r w:rsidR="00B9575C" w:rsidRPr="008D18D8">
        <w:rPr>
          <w:rFonts w:ascii="Times New Roman" w:hAnsi="Times New Roman" w:cs="Times New Roman"/>
          <w:sz w:val="24"/>
          <w:szCs w:val="24"/>
        </w:rPr>
        <w:t xml:space="preserve">Marbury from Maryland was the leader of </w:t>
      </w:r>
      <w:r w:rsidR="008D18D8" w:rsidRPr="008D18D8">
        <w:rPr>
          <w:rFonts w:ascii="Times New Roman" w:hAnsi="Times New Roman" w:cs="Times New Roman"/>
          <w:sz w:val="24"/>
          <w:szCs w:val="24"/>
        </w:rPr>
        <w:t>the Federalist</w:t>
      </w:r>
      <w:r w:rsidR="00B9575C" w:rsidRPr="008D18D8">
        <w:rPr>
          <w:rFonts w:ascii="Times New Roman" w:hAnsi="Times New Roman" w:cs="Times New Roman"/>
          <w:sz w:val="24"/>
          <w:szCs w:val="24"/>
        </w:rPr>
        <w:t xml:space="preserve"> Party, and since he was among the last appointments, he didn't secure his commission before Thomas Jefferson became the president who later, after becoming the president, directed James Madison, who was his secretary, to withhold the commission</w:t>
      </w:r>
      <w:r w:rsidR="000234F9">
        <w:rPr>
          <w:rFonts w:ascii="Times New Roman" w:hAnsi="Times New Roman" w:cs="Times New Roman"/>
          <w:sz w:val="24"/>
          <w:szCs w:val="24"/>
        </w:rPr>
        <w:t xml:space="preserve"> </w:t>
      </w:r>
      <w:r w:rsidR="000234F9" w:rsidRPr="000234F9">
        <w:rPr>
          <w:rFonts w:ascii="Times New Roman" w:hAnsi="Times New Roman" w:cs="Times New Roman"/>
          <w:sz w:val="24"/>
          <w:szCs w:val="24"/>
        </w:rPr>
        <w:t>(Nelson, 2018)</w:t>
      </w:r>
      <w:r w:rsidR="00B9575C" w:rsidRPr="008D18D8">
        <w:rPr>
          <w:rFonts w:ascii="Times New Roman" w:hAnsi="Times New Roman" w:cs="Times New Roman"/>
          <w:sz w:val="24"/>
          <w:szCs w:val="24"/>
        </w:rPr>
        <w:t>. Marbur</w:t>
      </w:r>
      <w:r w:rsidR="008D18D8">
        <w:rPr>
          <w:rFonts w:ascii="Times New Roman" w:hAnsi="Times New Roman" w:cs="Times New Roman"/>
          <w:sz w:val="24"/>
          <w:szCs w:val="24"/>
        </w:rPr>
        <w:t>y decided to appeal the Supreme Court</w:t>
      </w:r>
      <w:r w:rsidR="00B9575C" w:rsidRPr="008D18D8">
        <w:rPr>
          <w:rFonts w:ascii="Times New Roman" w:hAnsi="Times New Roman" w:cs="Times New Roman"/>
          <w:sz w:val="24"/>
          <w:szCs w:val="24"/>
        </w:rPr>
        <w:t xml:space="preserve"> to provide a mandamus writ to pressure Madison to act.</w:t>
      </w:r>
      <w:r w:rsidR="004609CB" w:rsidRPr="008D18D8">
        <w:rPr>
          <w:rFonts w:ascii="Times New Roman" w:hAnsi="Times New Roman" w:cs="Times New Roman"/>
          <w:sz w:val="24"/>
          <w:szCs w:val="24"/>
        </w:rPr>
        <w:t xml:space="preserve"> The court decided to hear the case in its 1803 February term, Marbury vs. Madison.</w:t>
      </w:r>
    </w:p>
    <w:p w:rsidR="004609CB" w:rsidRPr="008D18D8" w:rsidRDefault="00C3409B" w:rsidP="008D18D8">
      <w:pPr>
        <w:spacing w:line="480" w:lineRule="auto"/>
        <w:ind w:firstLine="720"/>
        <w:rPr>
          <w:rFonts w:ascii="Times New Roman" w:hAnsi="Times New Roman" w:cs="Times New Roman"/>
          <w:sz w:val="24"/>
          <w:szCs w:val="24"/>
        </w:rPr>
      </w:pPr>
      <w:r w:rsidRPr="008D18D8">
        <w:rPr>
          <w:rFonts w:ascii="Times New Roman" w:hAnsi="Times New Roman" w:cs="Times New Roman"/>
          <w:sz w:val="24"/>
          <w:szCs w:val="24"/>
        </w:rPr>
        <w:t>The court was considered to be moot by both the Republicans and the Federalists, but despite all these political challenges, Marshall acknowledged he had a case that was perfect in expounding a basic principle, with which the supreme court would secure the major responsibility in the interpretation of the constitution. In the court's decision,</w:t>
      </w:r>
      <w:r w:rsidR="00193822" w:rsidRPr="008D18D8">
        <w:rPr>
          <w:rFonts w:ascii="Times New Roman" w:hAnsi="Times New Roman" w:cs="Times New Roman"/>
          <w:sz w:val="24"/>
          <w:szCs w:val="24"/>
        </w:rPr>
        <w:t xml:space="preserve"> Marshall asked three questions and drew a lengthy and careful distinction between the secretary and the president's political review. The decision was that Marbury had the commission right, which was violated. Therefore, his country's law should afford a remedy for him. Although the chief justice would have held that the </w:t>
      </w:r>
      <w:r w:rsidR="008D18D8" w:rsidRPr="008D18D8">
        <w:rPr>
          <w:rFonts w:ascii="Times New Roman" w:hAnsi="Times New Roman" w:cs="Times New Roman"/>
          <w:sz w:val="24"/>
          <w:szCs w:val="24"/>
        </w:rPr>
        <w:t>Supreme Court’s</w:t>
      </w:r>
      <w:r w:rsidR="00193822" w:rsidRPr="008D18D8">
        <w:rPr>
          <w:rFonts w:ascii="Times New Roman" w:hAnsi="Times New Roman" w:cs="Times New Roman"/>
          <w:sz w:val="24"/>
          <w:szCs w:val="24"/>
        </w:rPr>
        <w:t xml:space="preserve"> solution to issue a writ of mandamus,</w:t>
      </w:r>
      <w:r w:rsidR="008950FD" w:rsidRPr="008D18D8">
        <w:rPr>
          <w:rFonts w:ascii="Times New Roman" w:hAnsi="Times New Roman" w:cs="Times New Roman"/>
          <w:sz w:val="24"/>
          <w:szCs w:val="24"/>
        </w:rPr>
        <w:t xml:space="preserve"> he rather declared the court didn't have the power in issuing such a writ since the act’s relevant provision was unconstitutional.</w:t>
      </w:r>
    </w:p>
    <w:p w:rsidR="008950FD" w:rsidRPr="008D18D8" w:rsidRDefault="00C3409B" w:rsidP="008D18D8">
      <w:pPr>
        <w:spacing w:line="480" w:lineRule="auto"/>
        <w:ind w:firstLine="720"/>
        <w:rPr>
          <w:rFonts w:ascii="Times New Roman" w:hAnsi="Times New Roman" w:cs="Times New Roman"/>
          <w:sz w:val="24"/>
          <w:szCs w:val="24"/>
        </w:rPr>
      </w:pPr>
      <w:r w:rsidRPr="008D18D8">
        <w:rPr>
          <w:rFonts w:ascii="Times New Roman" w:hAnsi="Times New Roman" w:cs="Times New Roman"/>
          <w:sz w:val="24"/>
          <w:szCs w:val="24"/>
        </w:rPr>
        <w:lastRenderedPageBreak/>
        <w:t xml:space="preserve">In the outcome, the political parties played a major role. First, the political parties pressurized Marshall in his decision. The involved political difficulties that were implanted by the political parties motivated Marshall in acknowledging </w:t>
      </w:r>
      <w:r w:rsidR="00825E52" w:rsidRPr="008D18D8">
        <w:rPr>
          <w:rFonts w:ascii="Times New Roman" w:hAnsi="Times New Roman" w:cs="Times New Roman"/>
          <w:sz w:val="24"/>
          <w:szCs w:val="24"/>
        </w:rPr>
        <w:t xml:space="preserve">the perfect case for expounding the judicial review. Additionally, both the republican and the federalist viewed the case as moot. However, in my perspective, I think that the argument by Marshall for the judicial review doctrine was not convincing since the 1789 jurisdiction Act was still effective. The act had granted </w:t>
      </w:r>
      <w:r w:rsidR="00467CB7" w:rsidRPr="008D18D8">
        <w:rPr>
          <w:rFonts w:ascii="Times New Roman" w:hAnsi="Times New Roman" w:cs="Times New Roman"/>
          <w:sz w:val="24"/>
          <w:szCs w:val="24"/>
        </w:rPr>
        <w:t>mandamus power to the court in the initial jurisdiction</w:t>
      </w:r>
      <w:r w:rsidR="000234F9" w:rsidRPr="000234F9">
        <w:rPr>
          <w:rFonts w:ascii="Times New Roman" w:hAnsi="Times New Roman" w:cs="Times New Roman"/>
          <w:sz w:val="24"/>
          <w:szCs w:val="24"/>
        </w:rPr>
        <w:t xml:space="preserve"> </w:t>
      </w:r>
      <w:r w:rsidR="000234F9">
        <w:rPr>
          <w:rFonts w:ascii="Times New Roman" w:hAnsi="Times New Roman" w:cs="Times New Roman"/>
          <w:sz w:val="24"/>
          <w:szCs w:val="24"/>
        </w:rPr>
        <w:t xml:space="preserve">(Nelson, </w:t>
      </w:r>
      <w:r w:rsidR="000234F9" w:rsidRPr="000234F9">
        <w:rPr>
          <w:rFonts w:ascii="Times New Roman" w:hAnsi="Times New Roman" w:cs="Times New Roman"/>
          <w:sz w:val="24"/>
          <w:szCs w:val="24"/>
        </w:rPr>
        <w:t>2018)</w:t>
      </w:r>
      <w:r w:rsidR="00467CB7" w:rsidRPr="008D18D8">
        <w:rPr>
          <w:rFonts w:ascii="Times New Roman" w:hAnsi="Times New Roman" w:cs="Times New Roman"/>
          <w:sz w:val="24"/>
          <w:szCs w:val="24"/>
        </w:rPr>
        <w:t>.</w:t>
      </w:r>
    </w:p>
    <w:p w:rsidR="00467CB7" w:rsidRPr="008D18D8" w:rsidRDefault="00C3409B" w:rsidP="00AB2365">
      <w:pPr>
        <w:spacing w:line="480" w:lineRule="auto"/>
        <w:jc w:val="center"/>
        <w:rPr>
          <w:rFonts w:ascii="Times New Roman" w:hAnsi="Times New Roman" w:cs="Times New Roman"/>
          <w:sz w:val="24"/>
          <w:szCs w:val="24"/>
        </w:rPr>
      </w:pPr>
      <w:bookmarkStart w:id="0" w:name="_GoBack"/>
      <w:bookmarkEnd w:id="0"/>
      <w:r w:rsidRPr="008D18D8">
        <w:rPr>
          <w:rFonts w:ascii="Times New Roman" w:hAnsi="Times New Roman" w:cs="Times New Roman"/>
          <w:sz w:val="24"/>
          <w:szCs w:val="24"/>
        </w:rPr>
        <w:t>Question 2</w:t>
      </w:r>
    </w:p>
    <w:p w:rsidR="00467CB7" w:rsidRPr="008D18D8" w:rsidRDefault="00C3409B" w:rsidP="008D18D8">
      <w:pPr>
        <w:spacing w:line="480" w:lineRule="auto"/>
        <w:ind w:firstLine="720"/>
        <w:rPr>
          <w:rFonts w:ascii="Times New Roman" w:hAnsi="Times New Roman" w:cs="Times New Roman"/>
          <w:sz w:val="24"/>
          <w:szCs w:val="24"/>
        </w:rPr>
      </w:pPr>
      <w:r w:rsidRPr="008D18D8">
        <w:rPr>
          <w:rFonts w:ascii="Times New Roman" w:hAnsi="Times New Roman" w:cs="Times New Roman"/>
          <w:sz w:val="24"/>
          <w:szCs w:val="24"/>
        </w:rPr>
        <w:t xml:space="preserve">The Obergefell legal was a case where the </w:t>
      </w:r>
      <w:r w:rsidR="00A22915" w:rsidRPr="008D18D8">
        <w:rPr>
          <w:rFonts w:ascii="Times New Roman" w:hAnsi="Times New Roman" w:cs="Times New Roman"/>
          <w:sz w:val="24"/>
          <w:szCs w:val="24"/>
        </w:rPr>
        <w:t>Supreme Court</w:t>
      </w:r>
      <w:r w:rsidRPr="008D18D8">
        <w:rPr>
          <w:rFonts w:ascii="Times New Roman" w:hAnsi="Times New Roman" w:cs="Times New Roman"/>
          <w:sz w:val="24"/>
          <w:szCs w:val="24"/>
        </w:rPr>
        <w:t xml:space="preserve"> ruled that the state's ban on the marriage of the same sex and recognition of the same sex's marriages performed dully in other jurisdictions under the clauses of equal protection and due process of the U.S. constitution 14</w:t>
      </w:r>
      <w:r w:rsidRPr="008D18D8">
        <w:rPr>
          <w:rFonts w:ascii="Times New Roman" w:hAnsi="Times New Roman" w:cs="Times New Roman"/>
          <w:sz w:val="24"/>
          <w:szCs w:val="24"/>
          <w:vertAlign w:val="superscript"/>
        </w:rPr>
        <w:t>th</w:t>
      </w:r>
      <w:r w:rsidRPr="008D18D8">
        <w:rPr>
          <w:rFonts w:ascii="Times New Roman" w:hAnsi="Times New Roman" w:cs="Times New Roman"/>
          <w:sz w:val="24"/>
          <w:szCs w:val="24"/>
        </w:rPr>
        <w:t xml:space="preserve"> amendment is unconstitutional. Justice Kennedy writing for the </w:t>
      </w:r>
      <w:r w:rsidR="00A22915" w:rsidRPr="008D18D8">
        <w:rPr>
          <w:rFonts w:ascii="Times New Roman" w:hAnsi="Times New Roman" w:cs="Times New Roman"/>
          <w:sz w:val="24"/>
          <w:szCs w:val="24"/>
        </w:rPr>
        <w:t>majority</w:t>
      </w:r>
      <w:r w:rsidRPr="008D18D8">
        <w:rPr>
          <w:rFonts w:ascii="Times New Roman" w:hAnsi="Times New Roman" w:cs="Times New Roman"/>
          <w:sz w:val="24"/>
          <w:szCs w:val="24"/>
        </w:rPr>
        <w:t xml:space="preserve"> asserted that marriage right is fundamental and hence protected by the due process clause, which hinders states against depriving any individual liberty, life without the law’s due process.</w:t>
      </w:r>
      <w:r w:rsidR="00B01BA5" w:rsidRPr="008D18D8">
        <w:rPr>
          <w:rFonts w:ascii="Times New Roman" w:hAnsi="Times New Roman" w:cs="Times New Roman"/>
          <w:sz w:val="24"/>
          <w:szCs w:val="24"/>
        </w:rPr>
        <w:t xml:space="preserve"> By the close connection virtue between equality and liberty, the right of marriage by the equal protection clause is also guaranteed, therefore forbidding any state to deny any individual</w:t>
      </w:r>
      <w:r w:rsidR="00A22915">
        <w:rPr>
          <w:rFonts w:ascii="Times New Roman" w:hAnsi="Times New Roman" w:cs="Times New Roman"/>
          <w:sz w:val="24"/>
          <w:szCs w:val="24"/>
        </w:rPr>
        <w:t xml:space="preserve"> </w:t>
      </w:r>
      <w:r w:rsidR="00A22915" w:rsidRPr="00A22915">
        <w:rPr>
          <w:rFonts w:ascii="Times New Roman" w:hAnsi="Times New Roman" w:cs="Times New Roman"/>
          <w:sz w:val="24"/>
          <w:szCs w:val="24"/>
        </w:rPr>
        <w:t>(Murray, 2016)</w:t>
      </w:r>
      <w:r w:rsidR="00B01BA5" w:rsidRPr="008D18D8">
        <w:rPr>
          <w:rFonts w:ascii="Times New Roman" w:hAnsi="Times New Roman" w:cs="Times New Roman"/>
          <w:sz w:val="24"/>
          <w:szCs w:val="24"/>
        </w:rPr>
        <w:t xml:space="preserve">. </w:t>
      </w:r>
    </w:p>
    <w:p w:rsidR="00230053" w:rsidRPr="008D18D8" w:rsidRDefault="00C3409B" w:rsidP="008D18D8">
      <w:pPr>
        <w:spacing w:line="480" w:lineRule="auto"/>
        <w:ind w:firstLine="720"/>
        <w:rPr>
          <w:rFonts w:ascii="Times New Roman" w:hAnsi="Times New Roman" w:cs="Times New Roman"/>
          <w:sz w:val="24"/>
          <w:szCs w:val="24"/>
        </w:rPr>
      </w:pPr>
      <w:r w:rsidRPr="008D18D8">
        <w:rPr>
          <w:rFonts w:ascii="Times New Roman" w:hAnsi="Times New Roman" w:cs="Times New Roman"/>
          <w:sz w:val="24"/>
          <w:szCs w:val="24"/>
        </w:rPr>
        <w:t xml:space="preserve">The masterpiece </w:t>
      </w:r>
      <w:r w:rsidR="00CE1345" w:rsidRPr="008D18D8">
        <w:rPr>
          <w:rFonts w:ascii="Times New Roman" w:hAnsi="Times New Roman" w:cs="Times New Roman"/>
          <w:sz w:val="24"/>
          <w:szCs w:val="24"/>
        </w:rPr>
        <w:t>cake shop</w:t>
      </w:r>
      <w:r w:rsidR="00CE1345">
        <w:rPr>
          <w:rFonts w:ascii="Times New Roman" w:hAnsi="Times New Roman" w:cs="Times New Roman"/>
          <w:sz w:val="24"/>
          <w:szCs w:val="24"/>
        </w:rPr>
        <w:t xml:space="preserve"> was a case in the supreme court regarding</w:t>
      </w:r>
      <w:r w:rsidRPr="008D18D8">
        <w:rPr>
          <w:rFonts w:ascii="Times New Roman" w:hAnsi="Times New Roman" w:cs="Times New Roman"/>
          <w:sz w:val="24"/>
          <w:szCs w:val="24"/>
        </w:rPr>
        <w:t xml:space="preserve"> on whether public accommodations owners can deny particular services regarding the claims on the first amendment of free religion exercise and free speech hence be given an exemption, particularly on denial in the provision of creative services like a custom wedding cake making for a gay couple married concerning the religious beliefs of the owner. The case involved </w:t>
      </w:r>
      <w:r w:rsidR="00DC23D6" w:rsidRPr="008D18D8">
        <w:rPr>
          <w:rFonts w:ascii="Times New Roman" w:hAnsi="Times New Roman" w:cs="Times New Roman"/>
          <w:sz w:val="24"/>
          <w:szCs w:val="24"/>
        </w:rPr>
        <w:t xml:space="preserve">the masterpiece </w:t>
      </w:r>
      <w:r w:rsidR="00CE1345" w:rsidRPr="008D18D8">
        <w:rPr>
          <w:rFonts w:ascii="Times New Roman" w:hAnsi="Times New Roman" w:cs="Times New Roman"/>
          <w:sz w:val="24"/>
          <w:szCs w:val="24"/>
        </w:rPr>
        <w:t>cake shop</w:t>
      </w:r>
      <w:r w:rsidR="00DC23D6" w:rsidRPr="008D18D8">
        <w:rPr>
          <w:rFonts w:ascii="Times New Roman" w:hAnsi="Times New Roman" w:cs="Times New Roman"/>
          <w:sz w:val="24"/>
          <w:szCs w:val="24"/>
        </w:rPr>
        <w:t xml:space="preserve"> that denied making a wedding cake to a gay married couple regarding the owner's </w:t>
      </w:r>
      <w:r w:rsidR="00DC23D6" w:rsidRPr="008D18D8">
        <w:rPr>
          <w:rFonts w:ascii="Times New Roman" w:hAnsi="Times New Roman" w:cs="Times New Roman"/>
          <w:sz w:val="24"/>
          <w:szCs w:val="24"/>
        </w:rPr>
        <w:lastRenderedPageBreak/>
        <w:t xml:space="preserve">religious beliefs. Specific orders were provided to the </w:t>
      </w:r>
      <w:r w:rsidR="00CE1345" w:rsidRPr="008D18D8">
        <w:rPr>
          <w:rFonts w:ascii="Times New Roman" w:hAnsi="Times New Roman" w:cs="Times New Roman"/>
          <w:sz w:val="24"/>
          <w:szCs w:val="24"/>
        </w:rPr>
        <w:t>bakery</w:t>
      </w:r>
      <w:r w:rsidR="00DC23D6" w:rsidRPr="008D18D8">
        <w:rPr>
          <w:rFonts w:ascii="Times New Roman" w:hAnsi="Times New Roman" w:cs="Times New Roman"/>
          <w:sz w:val="24"/>
          <w:szCs w:val="24"/>
        </w:rPr>
        <w:t xml:space="preserve"> by the Colorado Anti-Discrimination law for discrimination against the couple</w:t>
      </w:r>
      <w:r w:rsidR="00A22915" w:rsidRPr="00A22915">
        <w:rPr>
          <w:rFonts w:ascii="Times New Roman" w:hAnsi="Times New Roman" w:cs="Times New Roman"/>
          <w:sz w:val="24"/>
          <w:szCs w:val="24"/>
        </w:rPr>
        <w:t xml:space="preserve"> </w:t>
      </w:r>
      <w:r w:rsidR="00A22915">
        <w:rPr>
          <w:rFonts w:ascii="Times New Roman" w:hAnsi="Times New Roman" w:cs="Times New Roman"/>
          <w:sz w:val="24"/>
          <w:szCs w:val="24"/>
        </w:rPr>
        <w:t xml:space="preserve">(Alexander, </w:t>
      </w:r>
      <w:r w:rsidR="00A22915" w:rsidRPr="00A22915">
        <w:rPr>
          <w:rFonts w:ascii="Times New Roman" w:hAnsi="Times New Roman" w:cs="Times New Roman"/>
          <w:sz w:val="24"/>
          <w:szCs w:val="24"/>
        </w:rPr>
        <w:t>2018)</w:t>
      </w:r>
      <w:r w:rsidR="00DC23D6" w:rsidRPr="008D18D8">
        <w:rPr>
          <w:rFonts w:ascii="Times New Roman" w:hAnsi="Times New Roman" w:cs="Times New Roman"/>
          <w:sz w:val="24"/>
          <w:szCs w:val="24"/>
        </w:rPr>
        <w:t xml:space="preserve">. The bakery </w:t>
      </w:r>
      <w:r w:rsidR="00CE1345">
        <w:rPr>
          <w:rFonts w:ascii="Times New Roman" w:hAnsi="Times New Roman" w:cs="Times New Roman"/>
          <w:sz w:val="24"/>
          <w:szCs w:val="24"/>
        </w:rPr>
        <w:t xml:space="preserve">proceeded to the supreme court </w:t>
      </w:r>
      <w:r w:rsidR="00DC23D6" w:rsidRPr="008D18D8">
        <w:rPr>
          <w:rFonts w:ascii="Times New Roman" w:hAnsi="Times New Roman" w:cs="Times New Roman"/>
          <w:sz w:val="24"/>
          <w:szCs w:val="24"/>
        </w:rPr>
        <w:t>following affirmation of the commission's decision after the appeal. On n</w:t>
      </w:r>
      <w:r w:rsidR="00CE1345">
        <w:rPr>
          <w:rFonts w:ascii="Times New Roman" w:hAnsi="Times New Roman" w:cs="Times New Roman"/>
          <w:sz w:val="24"/>
          <w:szCs w:val="24"/>
        </w:rPr>
        <w:t xml:space="preserve">arrow grounds, the ruling was </w:t>
      </w:r>
      <w:r w:rsidR="00DC23D6" w:rsidRPr="008D18D8">
        <w:rPr>
          <w:rFonts w:ascii="Times New Roman" w:hAnsi="Times New Roman" w:cs="Times New Roman"/>
          <w:sz w:val="24"/>
          <w:szCs w:val="24"/>
        </w:rPr>
        <w:t xml:space="preserve">that the commission failed to recognize the neutrality of the </w:t>
      </w:r>
      <w:r w:rsidR="000234F9" w:rsidRPr="008D18D8">
        <w:rPr>
          <w:rFonts w:ascii="Times New Roman" w:hAnsi="Times New Roman" w:cs="Times New Roman"/>
          <w:sz w:val="24"/>
          <w:szCs w:val="24"/>
        </w:rPr>
        <w:t>religion;</w:t>
      </w:r>
      <w:r w:rsidR="00DC23D6" w:rsidRPr="008D18D8">
        <w:rPr>
          <w:rFonts w:ascii="Times New Roman" w:hAnsi="Times New Roman" w:cs="Times New Roman"/>
          <w:sz w:val="24"/>
          <w:szCs w:val="24"/>
        </w:rPr>
        <w:t xml:space="preserve"> therefore, violating the rights to free exercise of the owner of the masterpiece hence overturned</w:t>
      </w:r>
      <w:r w:rsidR="000234F9">
        <w:rPr>
          <w:rFonts w:ascii="Times New Roman" w:hAnsi="Times New Roman" w:cs="Times New Roman"/>
          <w:sz w:val="24"/>
          <w:szCs w:val="24"/>
        </w:rPr>
        <w:t xml:space="preserve"> the decision of the commission</w:t>
      </w:r>
      <w:r w:rsidR="000234F9" w:rsidRPr="000234F9">
        <w:rPr>
          <w:rFonts w:ascii="Times New Roman" w:hAnsi="Times New Roman" w:cs="Times New Roman"/>
          <w:sz w:val="24"/>
          <w:szCs w:val="24"/>
        </w:rPr>
        <w:t>.</w:t>
      </w:r>
    </w:p>
    <w:p w:rsidR="00967F32" w:rsidRPr="008D18D8" w:rsidRDefault="00C3409B" w:rsidP="008D18D8">
      <w:pPr>
        <w:spacing w:line="480" w:lineRule="auto"/>
        <w:ind w:firstLine="720"/>
        <w:rPr>
          <w:rFonts w:ascii="Times New Roman" w:hAnsi="Times New Roman" w:cs="Times New Roman"/>
          <w:sz w:val="24"/>
          <w:szCs w:val="24"/>
        </w:rPr>
      </w:pPr>
      <w:r w:rsidRPr="008D18D8">
        <w:rPr>
          <w:rFonts w:ascii="Times New Roman" w:hAnsi="Times New Roman" w:cs="Times New Roman"/>
          <w:sz w:val="24"/>
          <w:szCs w:val="24"/>
        </w:rPr>
        <w:t>Although the two cases are almost similar, they differ in several aspects concerning couples' marriage to the same sex. In the Obergefell case, Judge Kennedy advocates for gay marriage's rights and asserts that the right to marriage can be denied to anybody. However, in the Masterpiece case, the judg</w:t>
      </w:r>
      <w:r w:rsidR="00CE1345">
        <w:rPr>
          <w:rFonts w:ascii="Times New Roman" w:hAnsi="Times New Roman" w:cs="Times New Roman"/>
          <w:sz w:val="24"/>
          <w:szCs w:val="24"/>
        </w:rPr>
        <w:t xml:space="preserve">es reversed the </w:t>
      </w:r>
      <w:r w:rsidRPr="008D18D8">
        <w:rPr>
          <w:rFonts w:ascii="Times New Roman" w:hAnsi="Times New Roman" w:cs="Times New Roman"/>
          <w:sz w:val="24"/>
          <w:szCs w:val="24"/>
        </w:rPr>
        <w:t>commission</w:t>
      </w:r>
      <w:r w:rsidR="00CE1345">
        <w:rPr>
          <w:rFonts w:ascii="Times New Roman" w:hAnsi="Times New Roman" w:cs="Times New Roman"/>
          <w:sz w:val="24"/>
          <w:szCs w:val="24"/>
        </w:rPr>
        <w:t>’s decision</w:t>
      </w:r>
      <w:r w:rsidRPr="008D18D8">
        <w:rPr>
          <w:rFonts w:ascii="Times New Roman" w:hAnsi="Times New Roman" w:cs="Times New Roman"/>
          <w:sz w:val="24"/>
          <w:szCs w:val="24"/>
        </w:rPr>
        <w:t xml:space="preserve"> and asserted that the bakery had the right to de</w:t>
      </w:r>
      <w:r w:rsidR="00A22915">
        <w:rPr>
          <w:rFonts w:ascii="Times New Roman" w:hAnsi="Times New Roman" w:cs="Times New Roman"/>
          <w:sz w:val="24"/>
          <w:szCs w:val="24"/>
        </w:rPr>
        <w:t>ny the gay couple their fundamental right</w:t>
      </w:r>
      <w:r w:rsidRPr="008D18D8">
        <w:rPr>
          <w:rFonts w:ascii="Times New Roman" w:hAnsi="Times New Roman" w:cs="Times New Roman"/>
          <w:sz w:val="24"/>
          <w:szCs w:val="24"/>
        </w:rPr>
        <w:t xml:space="preserve"> on the ground of the owners' beliefs</w:t>
      </w:r>
      <w:r w:rsidR="00A22915">
        <w:rPr>
          <w:rFonts w:ascii="Times New Roman" w:hAnsi="Times New Roman" w:cs="Times New Roman"/>
          <w:sz w:val="24"/>
          <w:szCs w:val="24"/>
        </w:rPr>
        <w:t xml:space="preserve"> (Murray, </w:t>
      </w:r>
      <w:r w:rsidR="00A22915" w:rsidRPr="000234F9">
        <w:rPr>
          <w:rFonts w:ascii="Times New Roman" w:hAnsi="Times New Roman" w:cs="Times New Roman"/>
          <w:sz w:val="24"/>
          <w:szCs w:val="24"/>
        </w:rPr>
        <w:t>2016)</w:t>
      </w:r>
      <w:r w:rsidRPr="008D18D8">
        <w:rPr>
          <w:rFonts w:ascii="Times New Roman" w:hAnsi="Times New Roman" w:cs="Times New Roman"/>
          <w:sz w:val="24"/>
          <w:szCs w:val="24"/>
        </w:rPr>
        <w:t xml:space="preserve">. The two cases reflect on the challenges faced on freedom mapping in the </w:t>
      </w:r>
      <w:r w:rsidR="000234F9" w:rsidRPr="008D18D8">
        <w:rPr>
          <w:rFonts w:ascii="Times New Roman" w:hAnsi="Times New Roman" w:cs="Times New Roman"/>
          <w:sz w:val="24"/>
          <w:szCs w:val="24"/>
        </w:rPr>
        <w:t>United States</w:t>
      </w:r>
      <w:r w:rsidRPr="008D18D8">
        <w:rPr>
          <w:rFonts w:ascii="Times New Roman" w:hAnsi="Times New Roman" w:cs="Times New Roman"/>
          <w:sz w:val="24"/>
          <w:szCs w:val="24"/>
        </w:rPr>
        <w:t>. This is by the contradicting rights and freedoms that make it a headache on the freedom mapping.</w:t>
      </w:r>
    </w:p>
    <w:p w:rsidR="00967F32" w:rsidRDefault="00C3409B" w:rsidP="008D18D8">
      <w:pPr>
        <w:spacing w:line="480" w:lineRule="auto"/>
        <w:ind w:firstLine="720"/>
        <w:rPr>
          <w:rFonts w:ascii="Times New Roman" w:hAnsi="Times New Roman" w:cs="Times New Roman"/>
          <w:sz w:val="24"/>
          <w:szCs w:val="24"/>
        </w:rPr>
      </w:pPr>
      <w:r w:rsidRPr="008D18D8">
        <w:rPr>
          <w:rFonts w:ascii="Times New Roman" w:hAnsi="Times New Roman" w:cs="Times New Roman"/>
          <w:sz w:val="24"/>
          <w:szCs w:val="24"/>
        </w:rPr>
        <w:t xml:space="preserve">Various freedoms in the cases conflict with each other. For example, in the first case, marriage's legal right between a man and a woman conflict with the fundamental marriage right that cannot be denied to anybody regardless of marriage between couples of the same sex. In the second case, the freedom of speech and religious beliefs of the bakery owner conflicts with the non-discriminatory </w:t>
      </w:r>
      <w:r w:rsidR="00B15268" w:rsidRPr="008D18D8">
        <w:rPr>
          <w:rFonts w:ascii="Times New Roman" w:hAnsi="Times New Roman" w:cs="Times New Roman"/>
          <w:sz w:val="24"/>
          <w:szCs w:val="24"/>
        </w:rPr>
        <w:t xml:space="preserve">right. On the decisions asserted by the </w:t>
      </w:r>
      <w:r w:rsidR="008D18D8" w:rsidRPr="008D18D8">
        <w:rPr>
          <w:rFonts w:ascii="Times New Roman" w:hAnsi="Times New Roman" w:cs="Times New Roman"/>
          <w:sz w:val="24"/>
          <w:szCs w:val="24"/>
        </w:rPr>
        <w:t>Supreme Court</w:t>
      </w:r>
      <w:r w:rsidR="00B15268" w:rsidRPr="008D18D8">
        <w:rPr>
          <w:rFonts w:ascii="Times New Roman" w:hAnsi="Times New Roman" w:cs="Times New Roman"/>
          <w:sz w:val="24"/>
          <w:szCs w:val="24"/>
        </w:rPr>
        <w:t>, I partially agree. I differ with the decision of the first case based on religious beliefs.</w:t>
      </w:r>
    </w:p>
    <w:p w:rsidR="008D18D8" w:rsidRDefault="008D18D8" w:rsidP="008D18D8">
      <w:pPr>
        <w:spacing w:line="480" w:lineRule="auto"/>
        <w:ind w:firstLine="720"/>
        <w:rPr>
          <w:rFonts w:ascii="Times New Roman" w:hAnsi="Times New Roman" w:cs="Times New Roman"/>
          <w:sz w:val="24"/>
          <w:szCs w:val="24"/>
        </w:rPr>
      </w:pPr>
    </w:p>
    <w:p w:rsidR="008D18D8" w:rsidRDefault="008D18D8" w:rsidP="008D18D8">
      <w:pPr>
        <w:spacing w:line="480" w:lineRule="auto"/>
        <w:ind w:firstLine="720"/>
        <w:rPr>
          <w:rFonts w:ascii="Times New Roman" w:hAnsi="Times New Roman" w:cs="Times New Roman"/>
          <w:sz w:val="24"/>
          <w:szCs w:val="24"/>
        </w:rPr>
      </w:pPr>
    </w:p>
    <w:p w:rsidR="008D18D8" w:rsidRDefault="008D18D8" w:rsidP="008D18D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234F9" w:rsidRDefault="000234F9" w:rsidP="000234F9">
      <w:pPr>
        <w:spacing w:line="480" w:lineRule="auto"/>
        <w:ind w:left="720" w:hanging="720"/>
        <w:rPr>
          <w:rFonts w:ascii="Times New Roman" w:hAnsi="Times New Roman" w:cs="Times New Roman"/>
          <w:sz w:val="24"/>
          <w:szCs w:val="24"/>
        </w:rPr>
      </w:pPr>
      <w:r w:rsidRPr="000234F9">
        <w:rPr>
          <w:rFonts w:ascii="Times New Roman" w:hAnsi="Times New Roman" w:cs="Times New Roman"/>
          <w:sz w:val="24"/>
          <w:szCs w:val="24"/>
        </w:rPr>
        <w:t>Alexander, K. W. (2018). The Masterpiece Cakeshop decision and the clash between nondiscrimination and religious freedom. </w:t>
      </w:r>
      <w:r w:rsidRPr="000234F9">
        <w:rPr>
          <w:rFonts w:ascii="Times New Roman" w:hAnsi="Times New Roman" w:cs="Times New Roman"/>
          <w:i/>
          <w:iCs/>
          <w:sz w:val="24"/>
          <w:szCs w:val="24"/>
        </w:rPr>
        <w:t>Okla. L. Rev.</w:t>
      </w:r>
      <w:r w:rsidRPr="000234F9">
        <w:rPr>
          <w:rFonts w:ascii="Times New Roman" w:hAnsi="Times New Roman" w:cs="Times New Roman"/>
          <w:sz w:val="24"/>
          <w:szCs w:val="24"/>
        </w:rPr>
        <w:t>, </w:t>
      </w:r>
      <w:r w:rsidRPr="000234F9">
        <w:rPr>
          <w:rFonts w:ascii="Times New Roman" w:hAnsi="Times New Roman" w:cs="Times New Roman"/>
          <w:i/>
          <w:iCs/>
          <w:sz w:val="24"/>
          <w:szCs w:val="24"/>
        </w:rPr>
        <w:t>71</w:t>
      </w:r>
      <w:r w:rsidRPr="000234F9">
        <w:rPr>
          <w:rFonts w:ascii="Times New Roman" w:hAnsi="Times New Roman" w:cs="Times New Roman"/>
          <w:sz w:val="24"/>
          <w:szCs w:val="24"/>
        </w:rPr>
        <w:t>, 1069.</w:t>
      </w:r>
    </w:p>
    <w:p w:rsidR="000234F9" w:rsidRPr="008D18D8" w:rsidRDefault="000234F9" w:rsidP="000234F9">
      <w:pPr>
        <w:spacing w:line="480" w:lineRule="auto"/>
        <w:ind w:left="720" w:hanging="720"/>
        <w:rPr>
          <w:rFonts w:ascii="Times New Roman" w:hAnsi="Times New Roman" w:cs="Times New Roman"/>
          <w:sz w:val="24"/>
          <w:szCs w:val="24"/>
        </w:rPr>
      </w:pPr>
      <w:r w:rsidRPr="000234F9">
        <w:rPr>
          <w:rFonts w:ascii="Times New Roman" w:hAnsi="Times New Roman" w:cs="Times New Roman"/>
          <w:sz w:val="24"/>
          <w:szCs w:val="24"/>
        </w:rPr>
        <w:t>Murray, M. (2016). Obergefell v. Hodges and Nonmarriage Inequality. </w:t>
      </w:r>
      <w:r w:rsidRPr="000234F9">
        <w:rPr>
          <w:rFonts w:ascii="Times New Roman" w:hAnsi="Times New Roman" w:cs="Times New Roman"/>
          <w:i/>
          <w:iCs/>
          <w:sz w:val="24"/>
          <w:szCs w:val="24"/>
        </w:rPr>
        <w:t>California Law Review</w:t>
      </w:r>
      <w:r w:rsidRPr="000234F9">
        <w:rPr>
          <w:rFonts w:ascii="Times New Roman" w:hAnsi="Times New Roman" w:cs="Times New Roman"/>
          <w:sz w:val="24"/>
          <w:szCs w:val="24"/>
        </w:rPr>
        <w:t>, 1207-1258.</w:t>
      </w:r>
    </w:p>
    <w:p w:rsidR="000234F9" w:rsidRDefault="000234F9" w:rsidP="000234F9">
      <w:pPr>
        <w:spacing w:line="480" w:lineRule="auto"/>
        <w:ind w:left="720" w:hanging="720"/>
        <w:rPr>
          <w:rFonts w:ascii="Times New Roman" w:hAnsi="Times New Roman" w:cs="Times New Roman"/>
          <w:sz w:val="24"/>
          <w:szCs w:val="24"/>
        </w:rPr>
      </w:pPr>
      <w:r w:rsidRPr="000234F9">
        <w:rPr>
          <w:rFonts w:ascii="Times New Roman" w:hAnsi="Times New Roman" w:cs="Times New Roman"/>
          <w:sz w:val="24"/>
          <w:szCs w:val="24"/>
        </w:rPr>
        <w:t>Nelson, W. E. (2018). </w:t>
      </w:r>
      <w:r w:rsidRPr="000234F9">
        <w:rPr>
          <w:rFonts w:ascii="Times New Roman" w:hAnsi="Times New Roman" w:cs="Times New Roman"/>
          <w:i/>
          <w:iCs/>
          <w:sz w:val="24"/>
          <w:szCs w:val="24"/>
        </w:rPr>
        <w:t>Marbury v. Madison: The Origins and Legacy of Judicial Review, Revised and Expanded</w:t>
      </w:r>
      <w:r w:rsidRPr="000234F9">
        <w:rPr>
          <w:rFonts w:ascii="Times New Roman" w:hAnsi="Times New Roman" w:cs="Times New Roman"/>
          <w:sz w:val="24"/>
          <w:szCs w:val="24"/>
        </w:rPr>
        <w:t>. University Press of Kansas.</w:t>
      </w:r>
    </w:p>
    <w:sectPr w:rsidR="000234F9" w:rsidSect="008D18D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B4D" w:rsidRDefault="00FB1B4D" w:rsidP="008D18D8">
      <w:pPr>
        <w:spacing w:after="0" w:line="240" w:lineRule="auto"/>
      </w:pPr>
      <w:r>
        <w:separator/>
      </w:r>
    </w:p>
  </w:endnote>
  <w:endnote w:type="continuationSeparator" w:id="0">
    <w:p w:rsidR="00FB1B4D" w:rsidRDefault="00FB1B4D" w:rsidP="008D1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345" w:rsidRDefault="00CE13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345" w:rsidRDefault="00CE13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345" w:rsidRDefault="00CE13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B4D" w:rsidRDefault="00FB1B4D" w:rsidP="008D18D8">
      <w:pPr>
        <w:spacing w:after="0" w:line="240" w:lineRule="auto"/>
      </w:pPr>
      <w:r>
        <w:separator/>
      </w:r>
    </w:p>
  </w:footnote>
  <w:footnote w:type="continuationSeparator" w:id="0">
    <w:p w:rsidR="00FB1B4D" w:rsidRDefault="00FB1B4D" w:rsidP="008D1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1345" w:rsidRDefault="00CE13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2585613"/>
      <w:docPartObj>
        <w:docPartGallery w:val="Page Numbers (Top of Page)"/>
        <w:docPartUnique/>
      </w:docPartObj>
    </w:sdtPr>
    <w:sdtEndPr>
      <w:rPr>
        <w:noProof/>
      </w:rPr>
    </w:sdtEndPr>
    <w:sdtContent>
      <w:p w:rsidR="008D18D8" w:rsidRDefault="008D18D8">
        <w:pPr>
          <w:pStyle w:val="Header"/>
          <w:jc w:val="right"/>
        </w:pPr>
        <w:r>
          <w:fldChar w:fldCharType="begin"/>
        </w:r>
        <w:r>
          <w:instrText xml:space="preserve"> PAGE   \* MERGEFORMAT </w:instrText>
        </w:r>
        <w:r>
          <w:fldChar w:fldCharType="separate"/>
        </w:r>
        <w:r w:rsidR="00AB2365">
          <w:rPr>
            <w:noProof/>
          </w:rPr>
          <w:t>5</w:t>
        </w:r>
        <w:r>
          <w:rPr>
            <w:noProof/>
          </w:rPr>
          <w:fldChar w:fldCharType="end"/>
        </w:r>
      </w:p>
    </w:sdtContent>
  </w:sdt>
  <w:p w:rsidR="008D18D8" w:rsidRPr="008D18D8" w:rsidRDefault="008D18D8">
    <w:pPr>
      <w:pStyle w:val="Header"/>
      <w:rPr>
        <w:rFonts w:ascii="Times New Roman" w:hAnsi="Times New Roman" w:cs="Times New Roman"/>
        <w:sz w:val="24"/>
        <w:szCs w:val="24"/>
      </w:rPr>
    </w:pPr>
    <w:r w:rsidRPr="008D18D8">
      <w:rPr>
        <w:rFonts w:ascii="Times New Roman" w:hAnsi="Times New Roman" w:cs="Times New Roman"/>
        <w:sz w:val="24"/>
        <w:szCs w:val="24"/>
      </w:rPr>
      <w:t>SUPREME COURT DECISION</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21348578"/>
      <w:docPartObj>
        <w:docPartGallery w:val="Page Numbers (Top of Page)"/>
        <w:docPartUnique/>
      </w:docPartObj>
    </w:sdtPr>
    <w:sdtEndPr>
      <w:rPr>
        <w:noProof/>
      </w:rPr>
    </w:sdtEndPr>
    <w:sdtContent>
      <w:p w:rsidR="008D18D8" w:rsidRDefault="008D18D8">
        <w:pPr>
          <w:pStyle w:val="Header"/>
          <w:jc w:val="right"/>
        </w:pPr>
        <w:r>
          <w:fldChar w:fldCharType="begin"/>
        </w:r>
        <w:r>
          <w:instrText xml:space="preserve"> PAGE   \* MERGEFORMAT </w:instrText>
        </w:r>
        <w:r>
          <w:fldChar w:fldCharType="separate"/>
        </w:r>
        <w:r w:rsidR="00AB2365">
          <w:rPr>
            <w:noProof/>
          </w:rPr>
          <w:t>1</w:t>
        </w:r>
        <w:r>
          <w:rPr>
            <w:noProof/>
          </w:rPr>
          <w:fldChar w:fldCharType="end"/>
        </w:r>
      </w:p>
    </w:sdtContent>
  </w:sdt>
  <w:p w:rsidR="008D18D8" w:rsidRPr="008D18D8" w:rsidRDefault="00A22915">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8D18D8" w:rsidRPr="008D18D8">
      <w:rPr>
        <w:rFonts w:ascii="Times New Roman" w:hAnsi="Times New Roman" w:cs="Times New Roman"/>
        <w:sz w:val="24"/>
        <w:szCs w:val="24"/>
      </w:rPr>
      <w:t>SUPREME COURT DECISION.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E66"/>
    <w:rsid w:val="000234F9"/>
    <w:rsid w:val="00193822"/>
    <w:rsid w:val="00230053"/>
    <w:rsid w:val="003A2E66"/>
    <w:rsid w:val="004609CB"/>
    <w:rsid w:val="00467CB7"/>
    <w:rsid w:val="00810574"/>
    <w:rsid w:val="00825E52"/>
    <w:rsid w:val="008950FD"/>
    <w:rsid w:val="008D18D8"/>
    <w:rsid w:val="00967F32"/>
    <w:rsid w:val="00A22915"/>
    <w:rsid w:val="00AB2365"/>
    <w:rsid w:val="00B01BA5"/>
    <w:rsid w:val="00B15268"/>
    <w:rsid w:val="00B27FE9"/>
    <w:rsid w:val="00B9575C"/>
    <w:rsid w:val="00C3409B"/>
    <w:rsid w:val="00CE1345"/>
    <w:rsid w:val="00DC23D6"/>
    <w:rsid w:val="00F51162"/>
    <w:rsid w:val="00FB1B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368A32-F008-4329-8879-CDD7A7894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8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18D8"/>
  </w:style>
  <w:style w:type="paragraph" w:styleId="Footer">
    <w:name w:val="footer"/>
    <w:basedOn w:val="Normal"/>
    <w:link w:val="FooterChar"/>
    <w:uiPriority w:val="99"/>
    <w:unhideWhenUsed/>
    <w:rsid w:val="008D18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18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2020-10-08T20:26:00Z</dcterms:created>
  <dcterms:modified xsi:type="dcterms:W3CDTF">2020-10-08T20:26:00Z</dcterms:modified>
</cp:coreProperties>
</file>